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2EB2903E"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 xml:space="preserve">Śląska Oferta Rozwoju Kwalifikacji i Kompetencji - subregion </w:t>
      </w:r>
      <w:r w:rsidR="00933713">
        <w:rPr>
          <w:rFonts w:ascii="Calibri" w:hAnsi="Calibri" w:cs="Calibri"/>
          <w:bCs/>
          <w:sz w:val="24"/>
          <w:szCs w:val="24"/>
        </w:rPr>
        <w:t>zachodni</w:t>
      </w:r>
      <w:r w:rsidRPr="001E7B84">
        <w:rPr>
          <w:rFonts w:ascii="Calibri" w:hAnsi="Calibri" w:cs="Calibri"/>
          <w:bCs/>
          <w:sz w:val="24"/>
          <w:szCs w:val="24"/>
        </w:rPr>
        <w:t>”</w:t>
      </w:r>
    </w:p>
    <w:p w14:paraId="6D058FAA" w14:textId="77777777" w:rsidR="00D721E6" w:rsidRPr="001E7B84" w:rsidRDefault="00D721E6" w:rsidP="00320D85">
      <w:pPr>
        <w:rPr>
          <w:rFonts w:ascii="Calibri" w:hAnsi="Calibri"/>
          <w:bCs/>
        </w:rPr>
      </w:pPr>
    </w:p>
    <w:p w14:paraId="096565B2" w14:textId="27AB005C"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 xml:space="preserve">FESL.10.17-IP.02- </w:t>
      </w:r>
      <w:r w:rsidR="00933713">
        <w:rPr>
          <w:rFonts w:ascii="Calibri" w:hAnsi="Calibri" w:cs="Calibri"/>
          <w:b/>
          <w:sz w:val="24"/>
          <w:szCs w:val="24"/>
        </w:rPr>
        <w:t>0</w:t>
      </w:r>
      <w:r w:rsidR="001E7B84" w:rsidRPr="001E7B84">
        <w:rPr>
          <w:rFonts w:ascii="Calibri" w:hAnsi="Calibri" w:cs="Calibri"/>
          <w:b/>
          <w:sz w:val="24"/>
          <w:szCs w:val="24"/>
        </w:rPr>
        <w:t>BA</w:t>
      </w:r>
      <w:r w:rsidR="00933713">
        <w:rPr>
          <w:rFonts w:ascii="Calibri" w:hAnsi="Calibri" w:cs="Calibri"/>
          <w:b/>
          <w:sz w:val="24"/>
          <w:szCs w:val="24"/>
        </w:rPr>
        <w:t>C</w:t>
      </w:r>
      <w:r w:rsidR="001E7B84" w:rsidRPr="001E7B84">
        <w:rPr>
          <w:rFonts w:ascii="Calibri" w:hAnsi="Calibri" w:cs="Calibri"/>
          <w:b/>
          <w:sz w:val="24"/>
          <w:szCs w:val="24"/>
        </w:rPr>
        <w:t>/24-00</w:t>
      </w:r>
      <w:r w:rsidR="00933713">
        <w:rPr>
          <w:rFonts w:ascii="Calibri" w:hAnsi="Calibri" w:cs="Calibri"/>
          <w:b/>
          <w:sz w:val="24"/>
          <w:szCs w:val="24"/>
        </w:rPr>
        <w:t>3</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lastRenderedPageBreak/>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66A70710"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933713">
              <w:rPr>
                <w:rFonts w:ascii="Calibri" w:hAnsi="Calibri" w:cs="Calibri"/>
                <w:sz w:val="22"/>
                <w:szCs w:val="22"/>
              </w:rPr>
              <w:t>zachodni</w:t>
            </w:r>
            <w:r w:rsidR="001E7B84">
              <w:rPr>
                <w:rFonts w:ascii="Calibri" w:hAnsi="Calibri" w:cs="Calibri"/>
                <w:sz w:val="22"/>
                <w:szCs w:val="22"/>
              </w:rPr>
              <w:t>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64CD6022"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933713">
              <w:rPr>
                <w:rFonts w:ascii="Calibri" w:hAnsi="Calibri" w:cs="Calibri"/>
                <w:sz w:val="22"/>
                <w:szCs w:val="22"/>
              </w:rPr>
              <w:t>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17BFDB3"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5051A5" w:rsidRPr="005051A5">
              <w:rPr>
                <w:rFonts w:ascii="Calibri" w:hAnsi="Calibri" w:cs="Calibri"/>
                <w:sz w:val="22"/>
                <w:szCs w:val="22"/>
              </w:rPr>
              <w:t xml:space="preserve">Śląska Oferta Rozwoju Kwalifikacji i Kompetencji - subregion </w:t>
            </w:r>
            <w:r w:rsidR="005051A5">
              <w:rPr>
                <w:rFonts w:ascii="Calibri" w:hAnsi="Calibri" w:cs="Calibri"/>
                <w:sz w:val="22"/>
                <w:szCs w:val="22"/>
              </w:rPr>
              <w:t>zachodni</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 xml:space="preserve">Działalności (PKD) z Sekcji B – górnictwo i wydobywanie. Branża </w:t>
            </w:r>
            <w:r w:rsidRPr="00BE2159">
              <w:rPr>
                <w:rFonts w:asciiTheme="minorHAnsi" w:hAnsiTheme="minorHAnsi" w:cstheme="minorHAnsi"/>
                <w:i/>
              </w:rPr>
              <w:lastRenderedPageBreak/>
              <w:t>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03CEFBF2"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933713">
              <w:rPr>
                <w:rFonts w:ascii="Calibri" w:hAnsi="Calibri" w:cs="Calibri"/>
                <w:bCs/>
                <w:sz w:val="22"/>
                <w:szCs w:val="22"/>
              </w:rPr>
              <w:t>zachodni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5D65F04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933713">
              <w:rPr>
                <w:rFonts w:ascii="Calibri" w:hAnsi="Calibri" w:cs="Calibri"/>
                <w:bCs/>
                <w:sz w:val="22"/>
                <w:szCs w:val="22"/>
              </w:rPr>
              <w:t>zachodniego</w:t>
            </w:r>
            <w:r w:rsidR="000B7E94">
              <w:rPr>
                <w:rFonts w:ascii="Calibri" w:hAnsi="Calibri" w:cs="Calibri"/>
                <w:bCs/>
                <w:sz w:val="22"/>
                <w:szCs w:val="22"/>
              </w:rPr>
              <w:t>.</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416DC12F"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 xml:space="preserve">Śląska Oferta Rozwoju Kwalifikacji i Kompetencji - subregion </w:t>
            </w:r>
            <w:r w:rsidR="00933713">
              <w:rPr>
                <w:rFonts w:ascii="Calibri" w:hAnsi="Calibri" w:cs="Calibri"/>
                <w:bCs/>
                <w:sz w:val="22"/>
                <w:szCs w:val="22"/>
              </w:rPr>
              <w:t>zachodni</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E9B786A" w14:textId="77777777" w:rsidR="000B7E94" w:rsidRDefault="000B7E94" w:rsidP="000B7E94">
      <w:pPr>
        <w:pStyle w:val="Nagwek1"/>
        <w:ind w:left="3" w:right="3"/>
        <w:jc w:val="center"/>
      </w:pPr>
      <w:r>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lastRenderedPageBreak/>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nr 1296/2013 (Dz. Urz. UE L 231 z 30.06.2021, str. 21, z późn.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53823F" w14:textId="77777777" w:rsidR="000B7E94" w:rsidRPr="00EA506C" w:rsidRDefault="000B7E94" w:rsidP="000B7E94">
      <w:pPr>
        <w:pStyle w:val="Tekstpodstawowy"/>
        <w:ind w:left="141" w:right="140"/>
        <w:jc w:val="both"/>
        <w:rPr>
          <w:rFonts w:asciiTheme="minorHAnsi" w:hAnsiTheme="minorHAnsi" w:cstheme="minorHAnsi"/>
        </w:rPr>
        <w:sectPr w:rsidR="000B7E94" w:rsidRPr="00EA506C" w:rsidSect="000B7E94">
          <w:headerReference w:type="default" r:id="rId8"/>
          <w:pgSz w:w="11910" w:h="16840"/>
          <w:pgMar w:top="1360" w:right="1133" w:bottom="280" w:left="1275" w:header="708" w:footer="708" w:gutter="0"/>
          <w:cols w:space="708"/>
        </w:sect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r w:rsidRPr="00EA506C">
        <w:rPr>
          <w:rFonts w:asciiTheme="minorHAnsi" w:hAnsiTheme="minorHAnsi" w:cstheme="minorHAnsi"/>
          <w:spacing w:val="-2"/>
        </w:rPr>
        <w:t>beneficjentów,</w:t>
      </w: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EA506C" w:rsidRDefault="000B7E94" w:rsidP="000B7E94">
      <w:pPr>
        <w:pStyle w:val="Akapitzlist"/>
        <w:tabs>
          <w:tab w:val="left" w:pos="859"/>
        </w:tabs>
        <w:spacing w:before="37"/>
        <w:ind w:left="859"/>
        <w:contextualSpacing w:val="0"/>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nr 1296/2013 (Dz. Urz. UE L 231 z 30.06.2021, str. 21, z późn.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C85CD"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(MFiPR,</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40C7" w14:textId="77777777" w:rsidR="00601993" w:rsidRDefault="00601993" w:rsidP="00D721E6">
      <w:r>
        <w:separator/>
      </w:r>
    </w:p>
  </w:endnote>
  <w:endnote w:type="continuationSeparator" w:id="0">
    <w:p w14:paraId="6BA82CF4" w14:textId="77777777" w:rsidR="00601993" w:rsidRDefault="00601993" w:rsidP="00D721E6">
      <w:r>
        <w:continuationSeparator/>
      </w:r>
    </w:p>
  </w:endnote>
  <w:endnote w:type="continuationNotice" w:id="1">
    <w:p w14:paraId="57A853BC" w14:textId="77777777" w:rsidR="00601993" w:rsidRDefault="0060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9F60" w14:textId="77777777" w:rsidR="00601993" w:rsidRDefault="00601993" w:rsidP="00D721E6">
      <w:r>
        <w:separator/>
      </w:r>
    </w:p>
  </w:footnote>
  <w:footnote w:type="continuationSeparator" w:id="0">
    <w:p w14:paraId="00A1946D" w14:textId="77777777" w:rsidR="00601993" w:rsidRDefault="00601993" w:rsidP="00D721E6">
      <w:r>
        <w:continuationSeparator/>
      </w:r>
    </w:p>
  </w:footnote>
  <w:footnote w:type="continuationNotice" w:id="1">
    <w:p w14:paraId="790D63D5" w14:textId="77777777" w:rsidR="00601993" w:rsidRDefault="00601993"/>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72184975">
    <w:abstractNumId w:val="3"/>
  </w:num>
  <w:num w:numId="2" w16cid:durableId="2086027199">
    <w:abstractNumId w:val="7"/>
  </w:num>
  <w:num w:numId="3" w16cid:durableId="1498421158">
    <w:abstractNumId w:val="37"/>
  </w:num>
  <w:num w:numId="4" w16cid:durableId="1915312221">
    <w:abstractNumId w:val="1"/>
  </w:num>
  <w:num w:numId="5" w16cid:durableId="1501583640">
    <w:abstractNumId w:val="34"/>
  </w:num>
  <w:num w:numId="6" w16cid:durableId="1744331525">
    <w:abstractNumId w:val="27"/>
  </w:num>
  <w:num w:numId="7" w16cid:durableId="627662107">
    <w:abstractNumId w:val="24"/>
  </w:num>
  <w:num w:numId="8" w16cid:durableId="1318875483">
    <w:abstractNumId w:val="19"/>
  </w:num>
  <w:num w:numId="9" w16cid:durableId="157035885">
    <w:abstractNumId w:val="26"/>
  </w:num>
  <w:num w:numId="10" w16cid:durableId="1620261561">
    <w:abstractNumId w:val="2"/>
  </w:num>
  <w:num w:numId="11" w16cid:durableId="2025473767">
    <w:abstractNumId w:val="42"/>
  </w:num>
  <w:num w:numId="12" w16cid:durableId="795755323">
    <w:abstractNumId w:val="41"/>
  </w:num>
  <w:num w:numId="13" w16cid:durableId="1843885179">
    <w:abstractNumId w:val="4"/>
  </w:num>
  <w:num w:numId="14" w16cid:durableId="676230289">
    <w:abstractNumId w:val="8"/>
  </w:num>
  <w:num w:numId="15" w16cid:durableId="2120371951">
    <w:abstractNumId w:val="30"/>
  </w:num>
  <w:num w:numId="16" w16cid:durableId="1641376901">
    <w:abstractNumId w:val="22"/>
  </w:num>
  <w:num w:numId="17" w16cid:durableId="1051223526">
    <w:abstractNumId w:val="5"/>
  </w:num>
  <w:num w:numId="18" w16cid:durableId="2076312633">
    <w:abstractNumId w:val="17"/>
  </w:num>
  <w:num w:numId="19" w16cid:durableId="1436487052">
    <w:abstractNumId w:val="40"/>
  </w:num>
  <w:num w:numId="20" w16cid:durableId="1765031897">
    <w:abstractNumId w:val="28"/>
  </w:num>
  <w:num w:numId="21" w16cid:durableId="1853109108">
    <w:abstractNumId w:val="36"/>
  </w:num>
  <w:num w:numId="22" w16cid:durableId="296647709">
    <w:abstractNumId w:val="16"/>
  </w:num>
  <w:num w:numId="23" w16cid:durableId="375275999">
    <w:abstractNumId w:val="23"/>
  </w:num>
  <w:num w:numId="24" w16cid:durableId="1780173733">
    <w:abstractNumId w:val="12"/>
  </w:num>
  <w:num w:numId="25" w16cid:durableId="539130620">
    <w:abstractNumId w:val="15"/>
  </w:num>
  <w:num w:numId="26" w16cid:durableId="1472358787">
    <w:abstractNumId w:val="9"/>
  </w:num>
  <w:num w:numId="27" w16cid:durableId="385304787">
    <w:abstractNumId w:val="18"/>
  </w:num>
  <w:num w:numId="28" w16cid:durableId="1029839641">
    <w:abstractNumId w:val="6"/>
  </w:num>
  <w:num w:numId="29" w16cid:durableId="320698900">
    <w:abstractNumId w:val="0"/>
  </w:num>
  <w:num w:numId="30" w16cid:durableId="987636808">
    <w:abstractNumId w:val="14"/>
  </w:num>
  <w:num w:numId="31" w16cid:durableId="1855992955">
    <w:abstractNumId w:val="35"/>
  </w:num>
  <w:num w:numId="32" w16cid:durableId="1811744726">
    <w:abstractNumId w:val="43"/>
  </w:num>
  <w:num w:numId="33" w16cid:durableId="309292125">
    <w:abstractNumId w:val="29"/>
  </w:num>
  <w:num w:numId="34" w16cid:durableId="1665359616">
    <w:abstractNumId w:val="39"/>
  </w:num>
  <w:num w:numId="35" w16cid:durableId="1245991337">
    <w:abstractNumId w:val="31"/>
  </w:num>
  <w:num w:numId="36" w16cid:durableId="1041520664">
    <w:abstractNumId w:val="13"/>
  </w:num>
  <w:num w:numId="37" w16cid:durableId="218594254">
    <w:abstractNumId w:val="32"/>
  </w:num>
  <w:num w:numId="38" w16cid:durableId="2117022846">
    <w:abstractNumId w:val="20"/>
  </w:num>
  <w:num w:numId="39" w16cid:durableId="709763632">
    <w:abstractNumId w:val="21"/>
  </w:num>
  <w:num w:numId="40" w16cid:durableId="947352455">
    <w:abstractNumId w:val="10"/>
  </w:num>
  <w:num w:numId="41" w16cid:durableId="1328821939">
    <w:abstractNumId w:val="38"/>
  </w:num>
  <w:num w:numId="42" w16cid:durableId="312023720">
    <w:abstractNumId w:val="25"/>
  </w:num>
  <w:num w:numId="43" w16cid:durableId="868956199">
    <w:abstractNumId w:val="33"/>
  </w:num>
  <w:num w:numId="44" w16cid:durableId="54135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22EE"/>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1A5"/>
    <w:rsid w:val="00505894"/>
    <w:rsid w:val="005317A5"/>
    <w:rsid w:val="00532CC1"/>
    <w:rsid w:val="005608E9"/>
    <w:rsid w:val="00587F1E"/>
    <w:rsid w:val="005B366C"/>
    <w:rsid w:val="005B55CA"/>
    <w:rsid w:val="005C05FF"/>
    <w:rsid w:val="005C256D"/>
    <w:rsid w:val="005E6869"/>
    <w:rsid w:val="005F1C5D"/>
    <w:rsid w:val="005F4239"/>
    <w:rsid w:val="005F5B90"/>
    <w:rsid w:val="00601993"/>
    <w:rsid w:val="00606418"/>
    <w:rsid w:val="006071E0"/>
    <w:rsid w:val="0061558C"/>
    <w:rsid w:val="00616089"/>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31AFF"/>
    <w:rsid w:val="00852C8D"/>
    <w:rsid w:val="008634B4"/>
    <w:rsid w:val="00893AC6"/>
    <w:rsid w:val="008A0E9C"/>
    <w:rsid w:val="008B7CCF"/>
    <w:rsid w:val="008C0803"/>
    <w:rsid w:val="008D3336"/>
    <w:rsid w:val="00913E96"/>
    <w:rsid w:val="00933713"/>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92BDF"/>
    <w:rsid w:val="00BA1C33"/>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0ABE-F51B-4466-9AF2-E2E70409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4372</Words>
  <Characters>26233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Bartłomiej Kaptur</cp:lastModifiedBy>
  <cp:revision>3</cp:revision>
  <dcterms:created xsi:type="dcterms:W3CDTF">2025-09-08T11:42:00Z</dcterms:created>
  <dcterms:modified xsi:type="dcterms:W3CDTF">2025-09-17T13:41:00Z</dcterms:modified>
</cp:coreProperties>
</file>